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60FAD">
      <w:pPr>
        <w:spacing w:line="360" w:lineRule="auto"/>
        <w:jc w:val="center"/>
        <w:rPr>
          <w:rFonts w:hint="eastAsia" w:ascii="仿宋" w:hAnsi="仿宋" w:eastAsia="仿宋" w:cs="仿宋"/>
          <w:b/>
          <w:sz w:val="30"/>
          <w:szCs w:val="30"/>
          <w:highlight w:val="none"/>
        </w:rPr>
      </w:pPr>
      <w:r>
        <w:rPr>
          <w:rFonts w:hint="eastAsia" w:ascii="仿宋" w:hAnsi="仿宋" w:eastAsia="仿宋" w:cs="仿宋"/>
          <w:b/>
          <w:sz w:val="44"/>
          <w:szCs w:val="44"/>
          <w:highlight w:val="none"/>
        </w:rPr>
        <w:t>服务合同</w:t>
      </w:r>
    </w:p>
    <w:p w14:paraId="0FA24162">
      <w:pPr>
        <w:shd w:val="clear" w:color="auto" w:fill="FFFFFF"/>
        <w:spacing w:before="312" w:beforeLines="100" w:after="312" w:afterLines="100" w:line="360" w:lineRule="auto"/>
        <w:ind w:firstLine="422" w:firstLineChars="200"/>
        <w:rPr>
          <w:rFonts w:hint="eastAsia" w:ascii="仿宋" w:hAnsi="仿宋" w:eastAsia="仿宋" w:cs="仿宋"/>
          <w:b/>
          <w:sz w:val="21"/>
          <w:szCs w:val="21"/>
          <w:highlight w:val="none"/>
        </w:rPr>
      </w:pPr>
      <w:r>
        <w:rPr>
          <w:rFonts w:hint="eastAsia" w:ascii="仿宋" w:hAnsi="仿宋" w:eastAsia="仿宋" w:cs="仿宋"/>
          <w:b/>
          <w:bCs/>
          <w:sz w:val="21"/>
          <w:szCs w:val="21"/>
          <w:highlight w:val="none"/>
        </w:rPr>
        <w:t>甲方：</w:t>
      </w:r>
      <w:r>
        <w:rPr>
          <w:rFonts w:hint="eastAsia" w:ascii="仿宋" w:hAnsi="仿宋" w:eastAsia="仿宋" w:cs="仿宋"/>
          <w:sz w:val="21"/>
          <w:szCs w:val="21"/>
          <w:highlight w:val="none"/>
          <w:u w:val="single"/>
        </w:rPr>
        <w:t>陕西省互联网信息办公室</w:t>
      </w:r>
    </w:p>
    <w:p w14:paraId="2878E7D7">
      <w:pPr>
        <w:shd w:val="clear" w:color="auto" w:fill="FFFFFF"/>
        <w:spacing w:before="312" w:beforeLines="100" w:after="312" w:afterLines="100" w:line="360" w:lineRule="auto"/>
        <w:ind w:firstLine="422" w:firstLineChars="200"/>
        <w:rPr>
          <w:rFonts w:hint="eastAsia" w:ascii="仿宋" w:hAnsi="仿宋" w:eastAsia="仿宋" w:cs="仿宋"/>
          <w:b/>
          <w:sz w:val="21"/>
          <w:szCs w:val="21"/>
          <w:highlight w:val="none"/>
        </w:rPr>
      </w:pPr>
      <w:r>
        <w:rPr>
          <w:rFonts w:hint="eastAsia" w:ascii="仿宋" w:hAnsi="仿宋" w:eastAsia="仿宋" w:cs="仿宋"/>
          <w:b/>
          <w:bCs/>
          <w:sz w:val="21"/>
          <w:szCs w:val="21"/>
          <w:highlight w:val="none"/>
        </w:rPr>
        <w:t>乙方：</w:t>
      </w:r>
      <w:r>
        <w:rPr>
          <w:rFonts w:hint="eastAsia" w:ascii="仿宋" w:hAnsi="仿宋" w:eastAsia="仿宋" w:cs="仿宋"/>
          <w:bCs/>
          <w:sz w:val="21"/>
          <w:szCs w:val="21"/>
          <w:highlight w:val="none"/>
          <w:u w:val="single"/>
        </w:rPr>
        <w:t xml:space="preserve">                         </w:t>
      </w:r>
      <w:r>
        <w:rPr>
          <w:rFonts w:hint="eastAsia" w:ascii="仿宋" w:hAnsi="仿宋" w:eastAsia="仿宋" w:cs="仿宋"/>
          <w:b/>
          <w:bCs/>
          <w:sz w:val="21"/>
          <w:szCs w:val="21"/>
          <w:highlight w:val="none"/>
          <w:u w:val="single"/>
        </w:rPr>
        <w:t xml:space="preserve"> </w:t>
      </w:r>
    </w:p>
    <w:p w14:paraId="1D031585">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依据《中华人民共和国民法典》、《中华人民共和国保守国家秘密法实施条例（国务院令第646号）》、《涉密政府采购管理暂行办法（财库〔2019〕39号）》与项目行业有关的法律法规，以及</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u w:val="single"/>
        </w:rPr>
        <w:t>项目</w:t>
      </w:r>
      <w:r>
        <w:rPr>
          <w:rFonts w:hint="eastAsia" w:ascii="仿宋" w:hAnsi="仿宋" w:eastAsia="仿宋" w:cs="仿宋"/>
          <w:sz w:val="21"/>
          <w:szCs w:val="21"/>
          <w:highlight w:val="none"/>
          <w:u w:val="single"/>
          <w:lang w:val="en-US" w:eastAsia="zh-CN"/>
        </w:rPr>
        <w:t xml:space="preserve">名称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 xml:space="preserve">）的《竞争性磋商文件》，乙方的《响应文件》及《成交通知书》，甲、乙双方同意签订本合同。详细技术说明及其他有关合同项目的特定信息由合同附件予以说明，合同附件及本项目的《竞争性磋商文件》、《响应文件》、《成交通知书》等均为本合同的组成部分。 </w:t>
      </w:r>
    </w:p>
    <w:p w14:paraId="3959E020">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项目基本情况</w:t>
      </w:r>
    </w:p>
    <w:p w14:paraId="4D0FF9BA">
      <w:pPr>
        <w:spacing w:line="360" w:lineRule="auto"/>
        <w:rPr>
          <w:rFonts w:hint="eastAsia" w:ascii="仿宋" w:hAnsi="仿宋" w:eastAsia="仿宋" w:cs="仿宋"/>
          <w:b/>
          <w:sz w:val="21"/>
          <w:szCs w:val="21"/>
          <w:highlight w:val="none"/>
          <w:u w:val="single"/>
        </w:rPr>
      </w:pPr>
      <w:r>
        <w:rPr>
          <w:rFonts w:hint="eastAsia" w:ascii="仿宋" w:hAnsi="仿宋" w:eastAsia="仿宋" w:cs="仿宋"/>
          <w:b/>
          <w:sz w:val="21"/>
          <w:szCs w:val="21"/>
          <w:highlight w:val="none"/>
        </w:rPr>
        <w:t xml:space="preserve">  </w:t>
      </w:r>
      <w:r>
        <w:rPr>
          <w:rFonts w:hint="eastAsia" w:ascii="仿宋" w:hAnsi="仿宋" w:eastAsia="仿宋" w:cs="仿宋"/>
          <w:bCs/>
          <w:sz w:val="21"/>
          <w:szCs w:val="21"/>
          <w:highlight w:val="none"/>
        </w:rPr>
        <w:t xml:space="preserve"> 完成本年度新闻单位申请的符合性检查、换证核验检查的安全评估，以及日常督察检查服务指导工作。</w:t>
      </w:r>
    </w:p>
    <w:p w14:paraId="1817211D">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合同期限</w:t>
      </w:r>
    </w:p>
    <w:p w14:paraId="66BD3B5A">
      <w:pPr>
        <w:spacing w:line="360" w:lineRule="auto"/>
        <w:rPr>
          <w:rFonts w:hint="eastAsia" w:ascii="仿宋" w:hAnsi="仿宋" w:eastAsia="仿宋" w:cs="仿宋"/>
          <w:sz w:val="21"/>
          <w:szCs w:val="21"/>
          <w:highlight w:val="none"/>
          <w:u w:val="single"/>
        </w:rPr>
      </w:pPr>
      <w:r>
        <w:rPr>
          <w:rFonts w:hint="eastAsia" w:ascii="仿宋" w:hAnsi="仿宋" w:eastAsia="仿宋" w:cs="仿宋"/>
          <w:sz w:val="21"/>
          <w:szCs w:val="21"/>
          <w:highlight w:val="none"/>
        </w:rPr>
        <w:t xml:space="preserve">   </w:t>
      </w:r>
      <w:r>
        <w:rPr>
          <w:rFonts w:hint="eastAsia" w:ascii="仿宋" w:hAnsi="仿宋" w:eastAsia="仿宋" w:cs="仿宋"/>
          <w:sz w:val="21"/>
          <w:szCs w:val="21"/>
          <w:highlight w:val="none"/>
          <w:lang w:val="en-US" w:eastAsia="zh-CN"/>
        </w:rPr>
        <w:t>安全</w:t>
      </w:r>
      <w:r>
        <w:rPr>
          <w:rFonts w:hint="eastAsia" w:ascii="仿宋" w:hAnsi="仿宋" w:eastAsia="仿宋" w:cs="仿宋"/>
          <w:bCs/>
          <w:sz w:val="21"/>
          <w:szCs w:val="21"/>
          <w:highlight w:val="none"/>
        </w:rPr>
        <w:t>评估检查工作，应控制在10个工作日内完成技术规格的要求和出具安全评估报告；项目整体服务期至2025年12月31日</w:t>
      </w:r>
      <w:r>
        <w:rPr>
          <w:rFonts w:hint="eastAsia" w:ascii="仿宋" w:hAnsi="仿宋" w:eastAsia="仿宋" w:cs="仿宋"/>
          <w:sz w:val="21"/>
          <w:szCs w:val="21"/>
          <w:highlight w:val="none"/>
        </w:rPr>
        <w:t>。</w:t>
      </w:r>
    </w:p>
    <w:p w14:paraId="4D5F4B80">
      <w:pPr>
        <w:numPr>
          <w:ilvl w:val="0"/>
          <w:numId w:val="1"/>
        </w:numPr>
        <w:spacing w:line="360" w:lineRule="auto"/>
        <w:rPr>
          <w:rFonts w:hint="eastAsia" w:ascii="仿宋" w:hAnsi="仿宋" w:eastAsia="仿宋" w:cs="仿宋"/>
          <w:b/>
          <w:sz w:val="21"/>
          <w:szCs w:val="21"/>
          <w:highlight w:val="none"/>
        </w:rPr>
      </w:pPr>
      <w:bookmarkStart w:id="0" w:name="_Toc211854449"/>
      <w:bookmarkStart w:id="1" w:name="_Toc225244852"/>
      <w:bookmarkStart w:id="2" w:name="_Toc239233914"/>
      <w:bookmarkStart w:id="3" w:name="_Toc232492928"/>
      <w:bookmarkStart w:id="4" w:name="_Toc239568418"/>
      <w:bookmarkStart w:id="5" w:name="_Toc282696226"/>
      <w:bookmarkStart w:id="6" w:name="_Toc211911348"/>
      <w:bookmarkStart w:id="7" w:name="_Toc237145406"/>
      <w:bookmarkStart w:id="8" w:name="_Toc283019214"/>
      <w:bookmarkStart w:id="9" w:name="_Toc241833903"/>
      <w:bookmarkStart w:id="10" w:name="_Toc251768862"/>
      <w:bookmarkStart w:id="11" w:name="_Toc212019594"/>
      <w:bookmarkStart w:id="12" w:name="_Toc225670751"/>
      <w:bookmarkStart w:id="13" w:name="_Toc225654644"/>
      <w:bookmarkStart w:id="14" w:name="_Toc286993786"/>
      <w:bookmarkStart w:id="15" w:name="_Toc238984975"/>
      <w:bookmarkStart w:id="16" w:name="_Toc247334841"/>
      <w:bookmarkStart w:id="17" w:name="_Toc185395249"/>
      <w:r>
        <w:rPr>
          <w:rFonts w:hint="eastAsia" w:ascii="仿宋" w:hAnsi="仿宋" w:eastAsia="仿宋" w:cs="仿宋"/>
          <w:b/>
          <w:sz w:val="21"/>
          <w:szCs w:val="21"/>
          <w:highlight w:val="none"/>
        </w:rPr>
        <w:t>服务内容与质量标准</w:t>
      </w:r>
    </w:p>
    <w:p w14:paraId="01E4CD84">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1.《互联网新闻信息服务管理规定》</w:t>
      </w:r>
    </w:p>
    <w:p w14:paraId="2130935B">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2.《互联网新闻信息服务新技术新应用安全评估要求》</w:t>
      </w:r>
    </w:p>
    <w:p w14:paraId="4A1B473F">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3.其他国家、省级规定及要求</w:t>
      </w:r>
    </w:p>
    <w:p w14:paraId="468D4337">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合同金额、服务费用及支付方式</w:t>
      </w:r>
    </w:p>
    <w:p w14:paraId="202DFA51">
      <w:pPr>
        <w:pStyle w:val="2"/>
        <w:spacing w:after="0" w:line="360" w:lineRule="auto"/>
        <w:ind w:left="0" w:leftChars="0" w:firstLine="420" w:firstLineChars="200"/>
        <w:rPr>
          <w:rFonts w:hint="eastAsia" w:ascii="仿宋" w:hAnsi="仿宋" w:eastAsia="仿宋" w:cs="仿宋"/>
          <w:bCs/>
          <w:sz w:val="21"/>
          <w:szCs w:val="21"/>
          <w:highlight w:val="none"/>
          <w:u w:val="single"/>
        </w:rPr>
      </w:pPr>
      <w:r>
        <w:rPr>
          <w:rFonts w:hint="eastAsia" w:ascii="仿宋" w:hAnsi="仿宋" w:eastAsia="仿宋" w:cs="仿宋"/>
          <w:bCs/>
          <w:sz w:val="21"/>
          <w:szCs w:val="21"/>
          <w:highlight w:val="none"/>
        </w:rPr>
        <w:t>1.本项目合同金额：大写：</w:t>
      </w:r>
      <w:r>
        <w:rPr>
          <w:rFonts w:hint="eastAsia" w:ascii="仿宋" w:hAnsi="仿宋" w:eastAsia="仿宋" w:cs="仿宋"/>
          <w:bCs/>
          <w:sz w:val="21"/>
          <w:szCs w:val="21"/>
          <w:highlight w:val="none"/>
          <w:u w:val="single"/>
        </w:rPr>
        <w:t xml:space="preserve">             </w:t>
      </w:r>
      <w:r>
        <w:rPr>
          <w:rFonts w:hint="eastAsia" w:ascii="仿宋" w:hAnsi="仿宋" w:eastAsia="仿宋" w:cs="仿宋"/>
          <w:bCs/>
          <w:sz w:val="21"/>
          <w:szCs w:val="21"/>
          <w:highlight w:val="none"/>
        </w:rPr>
        <w:t xml:space="preserve"> ，小写：</w:t>
      </w:r>
      <w:r>
        <w:rPr>
          <w:rFonts w:hint="eastAsia" w:ascii="仿宋" w:hAnsi="仿宋" w:eastAsia="仿宋" w:cs="仿宋"/>
          <w:bCs/>
          <w:sz w:val="21"/>
          <w:szCs w:val="21"/>
          <w:highlight w:val="none"/>
          <w:u w:val="single"/>
        </w:rPr>
        <w:t xml:space="preserve">          </w:t>
      </w:r>
      <w:r>
        <w:rPr>
          <w:rFonts w:hint="eastAsia" w:ascii="仿宋" w:hAnsi="仿宋" w:eastAsia="仿宋" w:cs="仿宋"/>
          <w:bCs/>
          <w:sz w:val="21"/>
          <w:szCs w:val="21"/>
          <w:highlight w:val="none"/>
        </w:rPr>
        <w:t xml:space="preserve"> 元。</w:t>
      </w:r>
    </w:p>
    <w:p w14:paraId="5A91F312">
      <w:pPr>
        <w:spacing w:line="360" w:lineRule="auto"/>
        <w:ind w:firstLine="420" w:firstLineChars="200"/>
        <w:rPr>
          <w:rFonts w:hint="eastAsia" w:ascii="仿宋" w:hAnsi="仿宋" w:eastAsia="仿宋" w:cs="仿宋"/>
          <w:bCs/>
          <w:sz w:val="21"/>
          <w:szCs w:val="21"/>
          <w:highlight w:val="none"/>
        </w:rPr>
      </w:pPr>
      <w:r>
        <w:rPr>
          <w:rFonts w:hint="eastAsia" w:ascii="仿宋" w:hAnsi="仿宋" w:eastAsia="仿宋" w:cs="仿宋"/>
          <w:bCs/>
          <w:sz w:val="21"/>
          <w:szCs w:val="21"/>
          <w:highlight w:val="none"/>
        </w:rPr>
        <w:t>2.本项目服务费用由以下组成：</w:t>
      </w:r>
    </w:p>
    <w:p w14:paraId="30F54EF2">
      <w:pPr>
        <w:pStyle w:val="7"/>
        <w:spacing w:line="360" w:lineRule="auto"/>
        <w:ind w:firstLine="420" w:firstLineChars="200"/>
        <w:rPr>
          <w:rFonts w:hint="eastAsia" w:ascii="仿宋" w:hAnsi="仿宋" w:eastAsia="仿宋" w:cs="仿宋"/>
          <w:bCs/>
          <w:sz w:val="21"/>
          <w:szCs w:val="21"/>
          <w:highlight w:val="none"/>
        </w:rPr>
      </w:pPr>
      <w:r>
        <w:rPr>
          <w:rFonts w:hint="eastAsia" w:ascii="仿宋" w:hAnsi="仿宋" w:eastAsia="仿宋" w:cs="仿宋"/>
          <w:bCs/>
          <w:sz w:val="21"/>
          <w:szCs w:val="21"/>
          <w:highlight w:val="none"/>
        </w:rPr>
        <w:t xml:space="preserve"> 完成项目全部内容所需费用  </w:t>
      </w:r>
    </w:p>
    <w:p w14:paraId="6A29CB1D">
      <w:pPr>
        <w:tabs>
          <w:tab w:val="left" w:pos="780"/>
        </w:tabs>
        <w:spacing w:line="360" w:lineRule="auto"/>
        <w:ind w:firstLine="420" w:firstLineChars="200"/>
        <w:rPr>
          <w:rFonts w:hint="eastAsia" w:ascii="仿宋" w:hAnsi="仿宋" w:eastAsia="仿宋" w:cs="仿宋"/>
          <w:bCs/>
          <w:sz w:val="21"/>
          <w:szCs w:val="21"/>
          <w:highlight w:val="none"/>
        </w:rPr>
      </w:pPr>
      <w:r>
        <w:rPr>
          <w:rFonts w:hint="eastAsia" w:ascii="仿宋" w:hAnsi="仿宋" w:eastAsia="仿宋" w:cs="仿宋"/>
          <w:bCs/>
          <w:sz w:val="21"/>
          <w:szCs w:val="21"/>
          <w:highlight w:val="none"/>
        </w:rPr>
        <w:t xml:space="preserve">3.服务费支付方式： </w:t>
      </w:r>
    </w:p>
    <w:p w14:paraId="3E939C41">
      <w:pPr>
        <w:pStyle w:val="7"/>
        <w:spacing w:line="360" w:lineRule="auto"/>
        <w:ind w:firstLine="420" w:firstLineChars="200"/>
        <w:rPr>
          <w:rFonts w:hint="eastAsia" w:ascii="仿宋" w:hAnsi="仿宋" w:eastAsia="仿宋" w:cs="仿宋"/>
          <w:sz w:val="21"/>
          <w:szCs w:val="21"/>
          <w:highlight w:val="none"/>
          <w:u w:val="single"/>
        </w:rPr>
      </w:pPr>
      <w:r>
        <w:rPr>
          <w:rFonts w:hint="eastAsia" w:ascii="仿宋" w:hAnsi="仿宋" w:eastAsia="仿宋" w:cs="仿宋"/>
          <w:bCs/>
          <w:sz w:val="21"/>
          <w:szCs w:val="21"/>
          <w:highlight w:val="none"/>
        </w:rPr>
        <w:t>双方合同签订后，甲方收到乙方提供的发票后，甲方在</w:t>
      </w:r>
      <w:r>
        <w:rPr>
          <w:rFonts w:hint="eastAsia" w:ascii="仿宋" w:hAnsi="仿宋" w:eastAsia="仿宋" w:cs="仿宋"/>
          <w:bCs/>
          <w:sz w:val="21"/>
          <w:szCs w:val="21"/>
          <w:highlight w:val="none"/>
          <w:lang w:val="en-US" w:eastAsia="zh-CN"/>
        </w:rPr>
        <w:t>30</w:t>
      </w:r>
      <w:r>
        <w:rPr>
          <w:rFonts w:hint="eastAsia" w:ascii="仿宋" w:hAnsi="仿宋" w:eastAsia="仿宋" w:cs="仿宋"/>
          <w:bCs/>
          <w:sz w:val="21"/>
          <w:szCs w:val="21"/>
          <w:highlight w:val="none"/>
        </w:rPr>
        <w:t>日内向乙方支付项目合同金额的100%。</w:t>
      </w:r>
    </w:p>
    <w:p w14:paraId="38995E59">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知识产权</w:t>
      </w:r>
    </w:p>
    <w:p w14:paraId="08A87685">
      <w:pPr>
        <w:tabs>
          <w:tab w:val="left" w:pos="144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乙方应保证所提供的服务或其任何一部分均不会侵犯任何第三方的专利权、商标权或著作权。</w:t>
      </w:r>
    </w:p>
    <w:p w14:paraId="4086D486">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无产权瑕疵条款</w:t>
      </w:r>
    </w:p>
    <w:p w14:paraId="39EBA7C0">
      <w:pPr>
        <w:tabs>
          <w:tab w:val="left" w:pos="144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乙方保证所提供的服务的所有权完全属于乙方且无任何抵押、查封等产权瑕疵。如有产权瑕疵的，视为乙方违约。乙方应负担由此而产生的一切损失。</w:t>
      </w:r>
    </w:p>
    <w:p w14:paraId="7EC5760E">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履约保证金</w:t>
      </w:r>
    </w:p>
    <w:p w14:paraId="4D537692">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本项目不涉及履约保证金。</w:t>
      </w:r>
    </w:p>
    <w:p w14:paraId="3B8AA575">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甲方的权利和义务</w:t>
      </w:r>
    </w:p>
    <w:p w14:paraId="67FBC1EA">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E1CCFA4">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2.甲方有权依据双方签订的考评办法对乙方提供的服务进行定期考评。当考评结果未达到标准时，有权依据考评办法约定的数额扣除履约保证金。</w:t>
      </w:r>
    </w:p>
    <w:p w14:paraId="475C967F">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3.负责检查监督乙方管理工作的实施及制度的执行情况。</w:t>
      </w:r>
    </w:p>
    <w:p w14:paraId="6A99AE45">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4.根据本合同规定，按时向乙方支付应付服务费用。</w:t>
      </w:r>
    </w:p>
    <w:p w14:paraId="338F2546">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5.供应商未依法履行保密管理责任，存在严重泄密隐患的，采购人有权中止采购合同。</w:t>
      </w:r>
    </w:p>
    <w:p w14:paraId="23F9DAFD">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6.国家法律、法规所规定由甲方承担的其它责任。</w:t>
      </w:r>
    </w:p>
    <w:p w14:paraId="32A77EEA">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乙方的权利和义务</w:t>
      </w:r>
    </w:p>
    <w:p w14:paraId="5544E3BC">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1.对本合同规定的委托服务范围内的项目享有管理权及服务义务。</w:t>
      </w:r>
    </w:p>
    <w:p w14:paraId="6403F576">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2.根据本合同的规定向甲方收取相关服务费用，并有权在本项目管理范围内管理及合理使用。</w:t>
      </w:r>
    </w:p>
    <w:p w14:paraId="64EEE716">
      <w:pPr>
        <w:adjustRightInd w:val="0"/>
        <w:spacing w:line="360" w:lineRule="auto"/>
        <w:ind w:firstLine="420" w:firstLineChars="200"/>
        <w:jc w:val="left"/>
        <w:textAlignment w:val="baseline"/>
        <w:rPr>
          <w:rFonts w:hint="eastAsia" w:ascii="仿宋" w:hAnsi="仿宋" w:eastAsia="仿宋" w:cs="仿宋"/>
          <w:sz w:val="21"/>
          <w:szCs w:val="21"/>
          <w:highlight w:val="none"/>
        </w:rPr>
      </w:pPr>
      <w:r>
        <w:rPr>
          <w:rFonts w:hint="eastAsia" w:ascii="仿宋" w:hAnsi="仿宋" w:eastAsia="仿宋" w:cs="仿宋"/>
          <w:sz w:val="21"/>
          <w:szCs w:val="21"/>
          <w:highlight w:val="none"/>
        </w:rPr>
        <w:t>3.及时向甲方通告本项目服务范围内有关服务的重大事项，及时</w:t>
      </w:r>
      <w:bookmarkStart w:id="52" w:name="_GoBack"/>
      <w:bookmarkEnd w:id="52"/>
      <w:r>
        <w:rPr>
          <w:rFonts w:hint="eastAsia" w:ascii="仿宋" w:hAnsi="仿宋" w:eastAsia="仿宋" w:cs="仿宋"/>
          <w:sz w:val="21"/>
          <w:szCs w:val="21"/>
          <w:highlight w:val="none"/>
        </w:rPr>
        <w:t>配合处理投诉。</w:t>
      </w:r>
    </w:p>
    <w:p w14:paraId="269E25D1">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sz w:val="21"/>
          <w:szCs w:val="21"/>
          <w:highlight w:val="none"/>
        </w:rPr>
        <w:t>4.</w:t>
      </w:r>
      <w:r>
        <w:rPr>
          <w:rFonts w:hint="eastAsia" w:ascii="仿宋" w:hAnsi="仿宋" w:eastAsia="仿宋" w:cs="仿宋"/>
          <w:bCs/>
          <w:sz w:val="21"/>
          <w:szCs w:val="21"/>
          <w:highlight w:val="none"/>
        </w:rPr>
        <w:t>接受项目行业管理部门及政府有关部门的指导，接受甲方的监督。</w:t>
      </w:r>
    </w:p>
    <w:p w14:paraId="1BC26E83">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5.未经采购人书面同意,供应商不得利用采购人的磋商文件及相关资料中涉及的商业机密、经营模式、业务流程等向第三方公布。</w:t>
      </w:r>
    </w:p>
    <w:p w14:paraId="69B05EEC">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6. 供应商不得利用所掌握的采购人商业秘密牟取私利。</w:t>
      </w:r>
    </w:p>
    <w:p w14:paraId="5AF583FD">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7. 未经采购人许可,供应商不得复制或拷贝采购人资料。</w:t>
      </w:r>
    </w:p>
    <w:p w14:paraId="57CDF7D6">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8. 供应商必须严格遵守采购人的保密制度,防止泄露采购人的商业秘密。</w:t>
      </w:r>
    </w:p>
    <w:p w14:paraId="50905876">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9.国家法律、法规所规定由乙方承担的其它责任。</w:t>
      </w:r>
    </w:p>
    <w:p w14:paraId="058B77CA">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违约责任</w:t>
      </w:r>
    </w:p>
    <w:p w14:paraId="1FBDEE76">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1.甲乙双方必须遵守本合同并执行合同中的各项规定，保证本合同的正常履行。</w:t>
      </w:r>
    </w:p>
    <w:p w14:paraId="0F3DF1B0">
      <w:pPr>
        <w:adjustRightInd w:val="0"/>
        <w:spacing w:line="360" w:lineRule="auto"/>
        <w:ind w:firstLine="420" w:firstLineChars="200"/>
        <w:jc w:val="left"/>
        <w:textAlignment w:val="baseline"/>
        <w:rPr>
          <w:rFonts w:hint="eastAsia" w:ascii="仿宋" w:hAnsi="仿宋" w:eastAsia="仿宋" w:cs="仿宋"/>
          <w:bCs/>
          <w:sz w:val="21"/>
          <w:szCs w:val="21"/>
          <w:highlight w:val="none"/>
        </w:rPr>
      </w:pPr>
      <w:r>
        <w:rPr>
          <w:rFonts w:hint="eastAsia" w:ascii="仿宋" w:hAnsi="仿宋" w:eastAsia="仿宋" w:cs="仿宋"/>
          <w:bCs/>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CA3EF66">
      <w:pPr>
        <w:numPr>
          <w:ilvl w:val="0"/>
          <w:numId w:val="1"/>
        </w:numPr>
        <w:spacing w:line="360" w:lineRule="auto"/>
        <w:rPr>
          <w:rFonts w:hint="eastAsia" w:ascii="仿宋" w:hAnsi="仿宋" w:eastAsia="仿宋" w:cs="仿宋"/>
          <w:b/>
          <w:sz w:val="21"/>
          <w:szCs w:val="21"/>
          <w:highlight w:val="none"/>
        </w:rPr>
      </w:pPr>
      <w:r>
        <w:rPr>
          <w:rFonts w:hint="eastAsia" w:ascii="仿宋" w:hAnsi="仿宋" w:eastAsia="仿宋" w:cs="仿宋"/>
          <w:b/>
          <w:sz w:val="21"/>
          <w:szCs w:val="21"/>
          <w:highlight w:val="none"/>
        </w:rPr>
        <w:t>不可抗力事件处理</w:t>
      </w:r>
    </w:p>
    <w:p w14:paraId="0C07F785">
      <w:pPr>
        <w:tabs>
          <w:tab w:val="left" w:pos="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1.在合同有效期内，任何一方因不可抗力事件导致不能履行合同，则合同履行期可延长，其延长期与不可抗力影响期相同。</w:t>
      </w:r>
    </w:p>
    <w:p w14:paraId="6E959808">
      <w:pPr>
        <w:tabs>
          <w:tab w:val="left" w:pos="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2.不可抗力事件发生后，应立即通知对方，并寄送有关权威机构出具的证明。</w:t>
      </w:r>
    </w:p>
    <w:p w14:paraId="5EB97C00">
      <w:pPr>
        <w:tabs>
          <w:tab w:val="left" w:pos="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3.不可抗力事件延续</w:t>
      </w:r>
      <w:r>
        <w:rPr>
          <w:rFonts w:hint="eastAsia" w:ascii="仿宋" w:hAnsi="仿宋" w:eastAsia="仿宋" w:cs="仿宋"/>
          <w:sz w:val="21"/>
          <w:szCs w:val="21"/>
          <w:highlight w:val="none"/>
          <w:u w:val="single"/>
        </w:rPr>
        <w:t xml:space="preserve"> 30 </w:t>
      </w:r>
      <w:r>
        <w:rPr>
          <w:rFonts w:hint="eastAsia" w:ascii="仿宋" w:hAnsi="仿宋" w:eastAsia="仿宋" w:cs="仿宋"/>
          <w:sz w:val="21"/>
          <w:szCs w:val="21"/>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8684A2A">
      <w:pPr>
        <w:numPr>
          <w:ilvl w:val="0"/>
          <w:numId w:val="1"/>
        </w:numPr>
        <w:spacing w:line="360" w:lineRule="auto"/>
        <w:rPr>
          <w:rFonts w:hint="eastAsia" w:ascii="仿宋" w:hAnsi="仿宋" w:eastAsia="仿宋" w:cs="仿宋"/>
          <w:b/>
          <w:sz w:val="21"/>
          <w:szCs w:val="21"/>
          <w:highlight w:val="none"/>
        </w:rPr>
      </w:pPr>
      <w:bookmarkStart w:id="18" w:name="_Toc225244857"/>
      <w:bookmarkStart w:id="19" w:name="_Toc286993792"/>
      <w:bookmarkStart w:id="20" w:name="_Toc239233919"/>
      <w:bookmarkStart w:id="21" w:name="_Toc247334846"/>
      <w:bookmarkStart w:id="22" w:name="_Toc225670756"/>
      <w:bookmarkStart w:id="23" w:name="_Toc211854454"/>
      <w:bookmarkStart w:id="24" w:name="_Toc251768867"/>
      <w:bookmarkStart w:id="25" w:name="_Toc232492933"/>
      <w:bookmarkStart w:id="26" w:name="_Toc238984980"/>
      <w:bookmarkStart w:id="27" w:name="_Toc241833908"/>
      <w:bookmarkStart w:id="28" w:name="_Toc237145411"/>
      <w:bookmarkStart w:id="29" w:name="_Toc212019599"/>
      <w:bookmarkStart w:id="30" w:name="_Toc185395254"/>
      <w:bookmarkStart w:id="31" w:name="_Toc225654649"/>
      <w:bookmarkStart w:id="32" w:name="_Toc239568423"/>
      <w:bookmarkStart w:id="33" w:name="_Toc211911353"/>
      <w:r>
        <w:rPr>
          <w:rFonts w:hint="eastAsia" w:ascii="仿宋" w:hAnsi="仿宋" w:eastAsia="仿宋" w:cs="仿宋"/>
          <w:b/>
          <w:sz w:val="21"/>
          <w:szCs w:val="21"/>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F7C0277">
      <w:pPr>
        <w:tabs>
          <w:tab w:val="left" w:pos="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1.在执行本合同中发生的或与本合同有关的争端，双方应通过友好协商解决，经协商在</w:t>
      </w:r>
      <w:r>
        <w:rPr>
          <w:rFonts w:hint="eastAsia" w:ascii="仿宋" w:hAnsi="仿宋" w:eastAsia="仿宋" w:cs="仿宋"/>
          <w:sz w:val="21"/>
          <w:szCs w:val="21"/>
          <w:highlight w:val="none"/>
          <w:u w:val="single"/>
        </w:rPr>
        <w:t xml:space="preserve"> 10 </w:t>
      </w:r>
      <w:r>
        <w:rPr>
          <w:rFonts w:hint="eastAsia" w:ascii="仿宋" w:hAnsi="仿宋" w:eastAsia="仿宋" w:cs="仿宋"/>
          <w:sz w:val="21"/>
          <w:szCs w:val="21"/>
          <w:highlight w:val="none"/>
        </w:rPr>
        <w:t>天内不能达成协议时，应提交</w:t>
      </w:r>
      <w:r>
        <w:rPr>
          <w:rFonts w:hint="eastAsia" w:ascii="仿宋" w:hAnsi="仿宋" w:eastAsia="仿宋" w:cs="仿宋"/>
          <w:sz w:val="21"/>
          <w:szCs w:val="21"/>
          <w:highlight w:val="none"/>
          <w:u w:val="single"/>
        </w:rPr>
        <w:t>采购人所在地的仲裁委员会</w:t>
      </w:r>
      <w:r>
        <w:rPr>
          <w:rFonts w:hint="eastAsia" w:ascii="仿宋" w:hAnsi="仿宋" w:eastAsia="仿宋" w:cs="仿宋"/>
          <w:sz w:val="21"/>
          <w:szCs w:val="21"/>
          <w:highlight w:val="none"/>
        </w:rPr>
        <w:t>予以进行仲裁。</w:t>
      </w:r>
    </w:p>
    <w:p w14:paraId="5DD5A409">
      <w:pPr>
        <w:tabs>
          <w:tab w:val="left" w:pos="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2.仲裁裁决应为最终决定，并对双方具有约束力。</w:t>
      </w:r>
    </w:p>
    <w:p w14:paraId="7D101166">
      <w:pPr>
        <w:tabs>
          <w:tab w:val="left" w:pos="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3.除另有裁决外，仲裁费应由败诉方负担。 </w:t>
      </w:r>
    </w:p>
    <w:p w14:paraId="468A1639">
      <w:pPr>
        <w:tabs>
          <w:tab w:val="left" w:pos="0"/>
        </w:tabs>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4.在仲裁期间，除正在进行仲裁部分外，合同其他部分继续执行。  </w:t>
      </w:r>
    </w:p>
    <w:p w14:paraId="3BF19BD5">
      <w:pPr>
        <w:numPr>
          <w:ilvl w:val="0"/>
          <w:numId w:val="1"/>
        </w:numPr>
        <w:spacing w:line="360" w:lineRule="auto"/>
        <w:rPr>
          <w:rFonts w:hint="eastAsia" w:ascii="仿宋" w:hAnsi="仿宋" w:eastAsia="仿宋" w:cs="仿宋"/>
          <w:b/>
          <w:sz w:val="21"/>
          <w:szCs w:val="21"/>
          <w:highlight w:val="none"/>
        </w:rPr>
      </w:pPr>
      <w:bookmarkStart w:id="34" w:name="_Toc225654650"/>
      <w:bookmarkStart w:id="35" w:name="_Toc282696231"/>
      <w:bookmarkStart w:id="36" w:name="_Toc232492934"/>
      <w:bookmarkStart w:id="37" w:name="_Toc225670757"/>
      <w:bookmarkStart w:id="38" w:name="_Toc239233920"/>
      <w:bookmarkStart w:id="39" w:name="_Toc247334847"/>
      <w:bookmarkStart w:id="40" w:name="_Toc211854455"/>
      <w:bookmarkStart w:id="41" w:name="_Toc185395255"/>
      <w:bookmarkStart w:id="42" w:name="_Toc241833909"/>
      <w:bookmarkStart w:id="43" w:name="_Toc211911354"/>
      <w:bookmarkStart w:id="44" w:name="_Toc212019600"/>
      <w:bookmarkStart w:id="45" w:name="_Toc286993793"/>
      <w:bookmarkStart w:id="46" w:name="_Toc225244858"/>
      <w:bookmarkStart w:id="47" w:name="_Toc238984981"/>
      <w:bookmarkStart w:id="48" w:name="_Toc237145412"/>
      <w:bookmarkStart w:id="49" w:name="_Toc251768868"/>
      <w:bookmarkStart w:id="50" w:name="_Toc239568424"/>
      <w:bookmarkStart w:id="51" w:name="_Toc283019219"/>
      <w:r>
        <w:rPr>
          <w:rFonts w:hint="eastAsia" w:ascii="仿宋" w:hAnsi="仿宋" w:eastAsia="仿宋" w:cs="仿宋"/>
          <w:b/>
          <w:sz w:val="21"/>
          <w:szCs w:val="21"/>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sz w:val="21"/>
          <w:szCs w:val="21"/>
          <w:highlight w:val="none"/>
        </w:rPr>
        <w:t>生效及其他</w:t>
      </w:r>
    </w:p>
    <w:p w14:paraId="3E778B62">
      <w:pPr>
        <w:pStyle w:val="8"/>
        <w:spacing w:line="360" w:lineRule="auto"/>
        <w:ind w:firstLine="480"/>
        <w:rPr>
          <w:rFonts w:hint="eastAsia" w:ascii="仿宋" w:hAnsi="仿宋" w:eastAsia="仿宋" w:cs="仿宋"/>
          <w:sz w:val="21"/>
          <w:szCs w:val="21"/>
          <w:highlight w:val="none"/>
        </w:rPr>
      </w:pPr>
      <w:r>
        <w:rPr>
          <w:rFonts w:hint="eastAsia" w:ascii="仿宋" w:hAnsi="仿宋" w:eastAsia="仿宋" w:cs="仿宋"/>
          <w:sz w:val="21"/>
          <w:szCs w:val="21"/>
          <w:highlight w:val="none"/>
        </w:rPr>
        <w:t>1.合同经双方法定代表人或授权委托代理人签字并加盖单位公章后生效。</w:t>
      </w:r>
    </w:p>
    <w:p w14:paraId="1EB2428F">
      <w:pPr>
        <w:pStyle w:val="8"/>
        <w:spacing w:line="360" w:lineRule="auto"/>
        <w:ind w:firstLine="480"/>
        <w:rPr>
          <w:rFonts w:hint="eastAsia" w:ascii="仿宋" w:hAnsi="仿宋" w:eastAsia="仿宋" w:cs="仿宋"/>
          <w:sz w:val="21"/>
          <w:szCs w:val="21"/>
          <w:highlight w:val="none"/>
        </w:rPr>
      </w:pPr>
      <w:r>
        <w:rPr>
          <w:rFonts w:hint="eastAsia" w:ascii="仿宋" w:hAnsi="仿宋" w:eastAsia="仿宋" w:cs="仿宋"/>
          <w:sz w:val="21"/>
          <w:szCs w:val="21"/>
          <w:highlight w:val="none"/>
        </w:rPr>
        <w:t>2.合同执行中涉及资金和采购内容修改或补充的，须经甲方监督部门审批，并签书面补充协议报甲方相关行政部门备案，方可作为主合同不可分割的一部分。</w:t>
      </w:r>
    </w:p>
    <w:p w14:paraId="4DE64717">
      <w:pPr>
        <w:pStyle w:val="8"/>
        <w:spacing w:line="360" w:lineRule="auto"/>
        <w:ind w:firstLine="480"/>
        <w:rPr>
          <w:rFonts w:hint="eastAsia" w:ascii="仿宋" w:hAnsi="仿宋" w:eastAsia="仿宋" w:cs="仿宋"/>
          <w:sz w:val="21"/>
          <w:szCs w:val="21"/>
          <w:highlight w:val="none"/>
        </w:rPr>
      </w:pPr>
      <w:r>
        <w:rPr>
          <w:rFonts w:hint="eastAsia" w:ascii="仿宋" w:hAnsi="仿宋" w:eastAsia="仿宋" w:cs="仿宋"/>
          <w:sz w:val="21"/>
          <w:szCs w:val="21"/>
          <w:highlight w:val="none"/>
        </w:rPr>
        <w:t>3.本合同一式    份，自双方签章之日起起效。甲方</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份，乙方</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份，具有同等法律效力。</w:t>
      </w:r>
    </w:p>
    <w:p w14:paraId="5EA86155">
      <w:pPr>
        <w:numPr>
          <w:ilvl w:val="0"/>
          <w:numId w:val="1"/>
        </w:numPr>
        <w:spacing w:line="360" w:lineRule="auto"/>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t>其他</w:t>
      </w:r>
    </w:p>
    <w:p w14:paraId="50CBD7CE">
      <w:pPr>
        <w:rPr>
          <w:rFonts w:hint="eastAsia" w:ascii="仿宋" w:hAnsi="仿宋" w:eastAsia="仿宋" w:cs="仿宋"/>
          <w:sz w:val="21"/>
          <w:szCs w:val="21"/>
          <w:highlight w:val="none"/>
        </w:rPr>
      </w:pPr>
      <w:r>
        <w:rPr>
          <w:rFonts w:hint="eastAsia" w:ascii="仿宋" w:hAnsi="仿宋" w:eastAsia="仿宋" w:cs="仿宋"/>
          <w:sz w:val="21"/>
          <w:szCs w:val="21"/>
          <w:highlight w:val="none"/>
        </w:rPr>
        <w:br w:type="page"/>
      </w:r>
    </w:p>
    <w:p w14:paraId="1ECA2588">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甲方：</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 xml:space="preserve">（盖章）   </w:t>
      </w:r>
      <w:r>
        <w:rPr>
          <w:rFonts w:hint="eastAsia" w:ascii="仿宋" w:hAnsi="仿宋" w:eastAsia="仿宋" w:cs="仿宋"/>
          <w:sz w:val="21"/>
          <w:szCs w:val="21"/>
          <w:highlight w:val="none"/>
        </w:rPr>
        <w:tab/>
      </w:r>
      <w:r>
        <w:rPr>
          <w:rFonts w:hint="eastAsia" w:ascii="仿宋" w:hAnsi="仿宋" w:eastAsia="仿宋" w:cs="仿宋"/>
          <w:sz w:val="21"/>
          <w:szCs w:val="21"/>
          <w:highlight w:val="none"/>
        </w:rPr>
        <w:tab/>
      </w:r>
      <w:r>
        <w:rPr>
          <w:rFonts w:hint="eastAsia" w:ascii="仿宋" w:hAnsi="仿宋" w:eastAsia="仿宋" w:cs="仿宋"/>
          <w:sz w:val="21"/>
          <w:szCs w:val="21"/>
          <w:highlight w:val="none"/>
        </w:rPr>
        <w:tab/>
      </w:r>
      <w:r>
        <w:rPr>
          <w:rFonts w:hint="eastAsia" w:ascii="仿宋" w:hAnsi="仿宋" w:eastAsia="仿宋" w:cs="仿宋"/>
          <w:sz w:val="21"/>
          <w:szCs w:val="21"/>
          <w:highlight w:val="none"/>
        </w:rPr>
        <w:t xml:space="preserve"> 乙方：</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 xml:space="preserve">（盖章） </w:t>
      </w:r>
    </w:p>
    <w:p w14:paraId="5EE89098">
      <w:pPr>
        <w:spacing w:line="360" w:lineRule="auto"/>
        <w:ind w:firstLine="420" w:firstLineChars="200"/>
        <w:rPr>
          <w:rFonts w:hint="eastAsia" w:ascii="仿宋" w:hAnsi="仿宋" w:eastAsia="仿宋" w:cs="仿宋"/>
          <w:sz w:val="21"/>
          <w:szCs w:val="21"/>
          <w:highlight w:val="none"/>
        </w:rPr>
      </w:pPr>
    </w:p>
    <w:p w14:paraId="0F393E1D">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法定代表人（授权代表）：           法定代表人（授权代表）：</w:t>
      </w:r>
    </w:p>
    <w:p w14:paraId="62C6E71C">
      <w:pPr>
        <w:spacing w:line="360" w:lineRule="auto"/>
        <w:ind w:firstLine="420" w:firstLineChars="200"/>
        <w:rPr>
          <w:rFonts w:hint="eastAsia" w:ascii="仿宋" w:hAnsi="仿宋" w:eastAsia="仿宋" w:cs="仿宋"/>
          <w:sz w:val="21"/>
          <w:szCs w:val="21"/>
          <w:highlight w:val="none"/>
        </w:rPr>
      </w:pPr>
    </w:p>
    <w:p w14:paraId="6186251B">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地    址：                         地    址：</w:t>
      </w:r>
    </w:p>
    <w:p w14:paraId="1781991D">
      <w:pPr>
        <w:spacing w:line="360" w:lineRule="auto"/>
        <w:ind w:firstLine="420" w:firstLineChars="200"/>
        <w:rPr>
          <w:rFonts w:hint="eastAsia" w:ascii="仿宋" w:hAnsi="仿宋" w:eastAsia="仿宋" w:cs="仿宋"/>
          <w:sz w:val="21"/>
          <w:szCs w:val="21"/>
          <w:highlight w:val="none"/>
        </w:rPr>
      </w:pPr>
    </w:p>
    <w:p w14:paraId="465F84E5">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开户银行：                         开户银行：</w:t>
      </w:r>
    </w:p>
    <w:p w14:paraId="27B1D87D">
      <w:pPr>
        <w:spacing w:line="360" w:lineRule="auto"/>
        <w:ind w:firstLine="420" w:firstLineChars="200"/>
        <w:rPr>
          <w:rFonts w:hint="eastAsia" w:ascii="仿宋" w:hAnsi="仿宋" w:eastAsia="仿宋" w:cs="仿宋"/>
          <w:sz w:val="21"/>
          <w:szCs w:val="21"/>
          <w:highlight w:val="none"/>
        </w:rPr>
      </w:pPr>
    </w:p>
    <w:p w14:paraId="72609D75">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账号：                             账号：</w:t>
      </w:r>
    </w:p>
    <w:p w14:paraId="023C5A48">
      <w:pPr>
        <w:spacing w:line="360" w:lineRule="auto"/>
        <w:ind w:firstLine="420" w:firstLineChars="200"/>
        <w:rPr>
          <w:rFonts w:hint="eastAsia" w:ascii="仿宋" w:hAnsi="仿宋" w:eastAsia="仿宋" w:cs="仿宋"/>
          <w:sz w:val="21"/>
          <w:szCs w:val="21"/>
          <w:highlight w:val="none"/>
        </w:rPr>
      </w:pPr>
    </w:p>
    <w:p w14:paraId="5BBCE5E6">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电    话：                         电    话：</w:t>
      </w:r>
    </w:p>
    <w:p w14:paraId="5F54F374">
      <w:pPr>
        <w:spacing w:line="360" w:lineRule="auto"/>
        <w:ind w:firstLine="420" w:firstLineChars="200"/>
        <w:rPr>
          <w:rFonts w:hint="eastAsia" w:ascii="仿宋" w:hAnsi="仿宋" w:eastAsia="仿宋" w:cs="仿宋"/>
          <w:sz w:val="21"/>
          <w:szCs w:val="21"/>
          <w:highlight w:val="none"/>
        </w:rPr>
      </w:pPr>
    </w:p>
    <w:p w14:paraId="40A721D7">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传    真：                         传    真：</w:t>
      </w:r>
    </w:p>
    <w:p w14:paraId="6CC59151">
      <w:pPr>
        <w:pStyle w:val="3"/>
        <w:spacing w:line="360" w:lineRule="auto"/>
        <w:jc w:val="center"/>
        <w:rPr>
          <w:rFonts w:hint="eastAsia" w:ascii="仿宋" w:hAnsi="仿宋" w:eastAsia="仿宋" w:cs="仿宋"/>
          <w:sz w:val="21"/>
          <w:szCs w:val="21"/>
          <w:highlight w:val="none"/>
        </w:rPr>
      </w:pPr>
    </w:p>
    <w:p w14:paraId="1E8F8F6F">
      <w:pPr>
        <w:pStyle w:val="3"/>
        <w:spacing w:line="360" w:lineRule="auto"/>
        <w:jc w:val="center"/>
        <w:rPr>
          <w:rFonts w:hint="eastAsia" w:ascii="仿宋" w:hAnsi="仿宋" w:eastAsia="仿宋" w:cs="仿宋"/>
          <w:b/>
          <w:bCs/>
          <w:sz w:val="21"/>
          <w:szCs w:val="21"/>
          <w:highlight w:val="none"/>
        </w:rPr>
      </w:pPr>
      <w:r>
        <w:rPr>
          <w:rFonts w:hint="eastAsia" w:ascii="仿宋" w:hAnsi="仿宋" w:eastAsia="仿宋" w:cs="仿宋"/>
          <w:sz w:val="21"/>
          <w:szCs w:val="21"/>
          <w:highlight w:val="none"/>
        </w:rPr>
        <w:t xml:space="preserve">签约日期：    年   月    日 </w:t>
      </w:r>
      <w:r>
        <w:rPr>
          <w:rFonts w:hint="eastAsia" w:ascii="仿宋" w:hAnsi="仿宋" w:eastAsia="仿宋" w:cs="仿宋"/>
          <w:sz w:val="21"/>
          <w:szCs w:val="21"/>
          <w:highlight w:val="none"/>
        </w:rPr>
        <w:tab/>
      </w:r>
      <w:r>
        <w:rPr>
          <w:rFonts w:hint="eastAsia" w:ascii="仿宋" w:hAnsi="仿宋" w:eastAsia="仿宋" w:cs="仿宋"/>
          <w:sz w:val="21"/>
          <w:szCs w:val="21"/>
          <w:highlight w:val="none"/>
        </w:rPr>
        <w:tab/>
      </w:r>
      <w:r>
        <w:rPr>
          <w:rFonts w:hint="eastAsia" w:ascii="仿宋" w:hAnsi="仿宋" w:eastAsia="仿宋" w:cs="仿宋"/>
          <w:sz w:val="21"/>
          <w:szCs w:val="21"/>
          <w:highlight w:val="none"/>
        </w:rPr>
        <w:t xml:space="preserve">签约日期：    年   月    日 </w:t>
      </w:r>
    </w:p>
    <w:p w14:paraId="11EB3F92">
      <w:pPr>
        <w:spacing w:line="360" w:lineRule="auto"/>
        <w:rPr>
          <w:rFonts w:hint="eastAsia" w:ascii="仿宋" w:hAnsi="仿宋" w:eastAsia="仿宋" w:cs="仿宋"/>
          <w:bCs/>
          <w:sz w:val="21"/>
          <w:szCs w:val="21"/>
          <w:highlight w:val="none"/>
        </w:rPr>
      </w:pPr>
      <w:r>
        <w:rPr>
          <w:rFonts w:hint="eastAsia" w:ascii="仿宋" w:hAnsi="仿宋" w:eastAsia="仿宋" w:cs="仿宋"/>
          <w:b/>
          <w:sz w:val="21"/>
          <w:szCs w:val="21"/>
          <w:highlight w:val="none"/>
        </w:rPr>
        <w:t xml:space="preserve"> </w:t>
      </w:r>
    </w:p>
    <w:p w14:paraId="62FAEA69">
      <w:pPr>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签订地点：</w:t>
      </w:r>
      <w:r>
        <w:rPr>
          <w:rFonts w:hint="eastAsia" w:ascii="仿宋" w:hAnsi="仿宋" w:eastAsia="仿宋" w:cs="仿宋"/>
          <w:sz w:val="21"/>
          <w:szCs w:val="21"/>
          <w:highlight w:val="none"/>
          <w:u w:val="single"/>
        </w:rPr>
        <w:t xml:space="preserve">                       </w:t>
      </w:r>
    </w:p>
    <w:p w14:paraId="1CC74B90">
      <w:pPr>
        <w:pStyle w:val="9"/>
        <w:ind w:firstLine="560"/>
        <w:rPr>
          <w:rFonts w:hint="eastAsia" w:ascii="仿宋" w:hAnsi="仿宋" w:eastAsia="仿宋" w:cs="仿宋"/>
          <w:sz w:val="21"/>
          <w:szCs w:val="21"/>
          <w:highlight w:val="none"/>
        </w:rPr>
      </w:pPr>
    </w:p>
    <w:p w14:paraId="39279477">
      <w:pPr>
        <w:pStyle w:val="10"/>
        <w:rPr>
          <w:rFonts w:hint="eastAsia" w:ascii="仿宋" w:hAnsi="仿宋" w:eastAsia="仿宋" w:cs="仿宋"/>
          <w:highlight w:val="none"/>
          <w:lang w:val="en-US" w:eastAsia="zh-Hans"/>
        </w:rPr>
      </w:pPr>
    </w:p>
    <w:p w14:paraId="239509AB"/>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3311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C589DB">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4C589DB">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15"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97490"/>
    <w:rsid w:val="5AF9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HTML 预设格式1"/>
    <w:basedOn w:val="1"/>
    <w:qFormat/>
    <w:uiPriority w:val="0"/>
    <w:rPr>
      <w:rFonts w:ascii="Courier New" w:hAnsi="Courier New"/>
      <w:sz w:val="20"/>
    </w:rPr>
  </w:style>
  <w:style w:type="paragraph" w:styleId="8">
    <w:name w:val="List Paragraph"/>
    <w:basedOn w:val="1"/>
    <w:qFormat/>
    <w:uiPriority w:val="34"/>
    <w:pPr>
      <w:ind w:firstLine="420" w:firstLineChars="200"/>
    </w:pPr>
    <w:rPr>
      <w:rFonts w:ascii="Calibri" w:hAnsi="Calibri" w:eastAsia="宋体" w:cs="Times New Roman"/>
      <w:szCs w:val="22"/>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2025-08-12T08:09:00Z</dcterms:created>
  <dc:creator>Ywxxxxxx</dc:creator>
  <cp:lastModifiedBy>Ywxxxxxx</cp:lastModifiedBy>
  <dcterms:modified xsi:type="dcterms:W3CDTF">2025-08-12T08:10:15Z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E7B8EB388B8D47EF8206F71BF9228956_11</vt:lpwstr>
  </property>
  <property fmtid="{D5CDD505-2E9C-101B-9397-08002B2CF9AE}" pid="4" name="KSOTemplateDocerSaveRecord">
    <vt:lpwstr>eyJoZGlkIjoiZDk5NGM4MDE4ODI5MjFmMjQzNzNkOTJjOWFiODdmM2EiLCJ1c2VySWQiOiIzNjg2NDU2NDEifQ==</vt:lpwstr>
  </property>
</Properties>
</file>